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7D3" w:rsidRPr="00CC41EE" w:rsidRDefault="00EE37D3" w:rsidP="00EE37D3">
      <w:pPr>
        <w:keepNext/>
        <w:keepLines/>
        <w:spacing w:before="480" w:after="0" w:line="240" w:lineRule="auto"/>
        <w:jc w:val="center"/>
        <w:outlineLvl w:val="0"/>
        <w:rPr>
          <w:rFonts w:asciiTheme="majorHAnsi" w:eastAsiaTheme="majorEastAsia" w:hAnsiTheme="majorHAnsi" w:cstheme="majorBidi"/>
          <w:b/>
          <w:bCs/>
          <w:sz w:val="36"/>
          <w:szCs w:val="36"/>
          <w:u w:val="single"/>
        </w:rPr>
      </w:pPr>
      <w:r w:rsidRPr="00CC41EE">
        <w:rPr>
          <w:rFonts w:asciiTheme="majorHAnsi" w:eastAsiaTheme="majorEastAsia" w:hAnsiTheme="majorHAnsi" w:cstheme="majorBidi"/>
          <w:b/>
          <w:bCs/>
          <w:sz w:val="36"/>
          <w:szCs w:val="36"/>
          <w:u w:val="single"/>
        </w:rPr>
        <w:t>ИНФОРМАЦИЯ</w:t>
      </w:r>
      <w:r w:rsidRPr="00CC41EE">
        <w:rPr>
          <w:rFonts w:ascii="Andalus" w:eastAsiaTheme="majorEastAsia" w:hAnsi="Andalus" w:cs="Andalus"/>
          <w:b/>
          <w:bCs/>
          <w:sz w:val="36"/>
          <w:szCs w:val="36"/>
          <w:u w:val="single"/>
        </w:rPr>
        <w:t xml:space="preserve"> </w:t>
      </w:r>
      <w:r w:rsidRPr="00CC41EE">
        <w:rPr>
          <w:rFonts w:asciiTheme="majorHAnsi" w:eastAsiaTheme="majorEastAsia" w:hAnsiTheme="majorHAnsi" w:cstheme="majorBidi"/>
          <w:b/>
          <w:bCs/>
          <w:sz w:val="36"/>
          <w:szCs w:val="36"/>
          <w:u w:val="single"/>
        </w:rPr>
        <w:t>УПРАВЛЯЮЩЕЙ</w:t>
      </w:r>
      <w:r w:rsidRPr="00CC41EE">
        <w:rPr>
          <w:rFonts w:ascii="Andalus" w:eastAsiaTheme="majorEastAsia" w:hAnsi="Andalus" w:cs="Andalus"/>
          <w:b/>
          <w:bCs/>
          <w:sz w:val="36"/>
          <w:szCs w:val="36"/>
          <w:u w:val="single"/>
        </w:rPr>
        <w:t xml:space="preserve"> </w:t>
      </w:r>
      <w:r w:rsidRPr="00CC41EE">
        <w:rPr>
          <w:rFonts w:asciiTheme="majorHAnsi" w:eastAsiaTheme="majorEastAsia" w:hAnsiTheme="majorHAnsi" w:cstheme="majorBidi"/>
          <w:b/>
          <w:bCs/>
          <w:sz w:val="36"/>
          <w:szCs w:val="36"/>
          <w:u w:val="single"/>
        </w:rPr>
        <w:t>ОРГАНИЗАЦИИ</w:t>
      </w:r>
    </w:p>
    <w:p w:rsidR="00CC41EE" w:rsidRPr="00E129EE" w:rsidRDefault="00CC41EE" w:rsidP="00EE37D3">
      <w:pPr>
        <w:keepNext/>
        <w:keepLines/>
        <w:spacing w:before="480" w:after="0" w:line="240" w:lineRule="auto"/>
        <w:jc w:val="center"/>
        <w:outlineLvl w:val="0"/>
        <w:rPr>
          <w:rFonts w:asciiTheme="majorHAnsi" w:eastAsiaTheme="majorEastAsia" w:hAnsiTheme="majorHAnsi" w:cstheme="majorBidi"/>
          <w:b/>
          <w:bCs/>
          <w:sz w:val="36"/>
          <w:szCs w:val="36"/>
        </w:rPr>
      </w:pPr>
    </w:p>
    <w:p w:rsidR="00CC41EE" w:rsidRPr="00CC41EE" w:rsidRDefault="00446B3F" w:rsidP="00CC41EE">
      <w:pPr>
        <w:jc w:val="both"/>
        <w:rPr>
          <w:rFonts w:ascii="Times New Roman" w:hAnsi="Times New Roman" w:cs="Times New Roman"/>
          <w:b/>
          <w:sz w:val="24"/>
          <w:szCs w:val="24"/>
        </w:rPr>
      </w:pPr>
      <w:r w:rsidRPr="00E129EE">
        <w:rPr>
          <w:sz w:val="60"/>
          <w:szCs w:val="60"/>
        </w:rPr>
        <w:t xml:space="preserve">   </w:t>
      </w:r>
      <w:r w:rsidR="00720F88" w:rsidRPr="00E129EE">
        <w:rPr>
          <w:sz w:val="60"/>
          <w:szCs w:val="60"/>
        </w:rPr>
        <w:tab/>
      </w:r>
      <w:r w:rsidR="00E129EE" w:rsidRPr="00CC41EE">
        <w:rPr>
          <w:rFonts w:ascii="Times New Roman" w:hAnsi="Times New Roman" w:cs="Times New Roman"/>
          <w:color w:val="000000"/>
          <w:sz w:val="44"/>
          <w:szCs w:val="44"/>
        </w:rPr>
        <w:t xml:space="preserve">   </w:t>
      </w:r>
      <w:r w:rsidR="00CC41EE" w:rsidRPr="00CC41EE">
        <w:rPr>
          <w:rFonts w:ascii="Times New Roman" w:hAnsi="Times New Roman" w:cs="Times New Roman"/>
          <w:b/>
          <w:sz w:val="24"/>
          <w:szCs w:val="24"/>
        </w:rPr>
        <w:t>УВЕДОМЛЕНИЕ О ПОСЛЕДСТВИЯХ НЕДОПУСКА ДЛЯ ПРОВЕДЕНИЯ ПРОВЕРКИ СОСТОЯНИЯ ПРИБОРОВ УЧЕТА И НЕСАНКЦИОНИРОВАННОГО ВМЕШАТЕЛЬСТВА В РАБОТУ ПРИБОРА УЧЕТА</w:t>
      </w:r>
    </w:p>
    <w:p w:rsidR="00CC41EE" w:rsidRPr="00CC41EE" w:rsidRDefault="00CC41EE" w:rsidP="00CC41EE">
      <w:pPr>
        <w:pStyle w:val="a3"/>
        <w:ind w:firstLine="567"/>
        <w:jc w:val="both"/>
        <w:rPr>
          <w:rFonts w:ascii="Times New Roman" w:hAnsi="Times New Roman" w:cs="Times New Roman"/>
        </w:rPr>
      </w:pPr>
      <w:proofErr w:type="gramStart"/>
      <w:r w:rsidRPr="00CC41EE">
        <w:rPr>
          <w:rFonts w:ascii="Times New Roman" w:hAnsi="Times New Roman" w:cs="Times New Roman"/>
        </w:rPr>
        <w:t>В соответствии с подп. «ж» п. 34 Правил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 № 354 (далее - Правила), потребитель обязан допускать управляющую организацию в занимаемое помещение для снятия показаний приборов учета и распределителей, проверки их состояния, факта их наличия или отсутствия, а также достоверности переданных показаний в заранее</w:t>
      </w:r>
      <w:proofErr w:type="gramEnd"/>
      <w:r w:rsidRPr="00CC41EE">
        <w:rPr>
          <w:rFonts w:ascii="Times New Roman" w:hAnsi="Times New Roman" w:cs="Times New Roman"/>
        </w:rPr>
        <w:t xml:space="preserve"> согласованное время, но не чаще 1 раза в 3 месяца.</w:t>
      </w:r>
    </w:p>
    <w:p w:rsidR="00CC41EE" w:rsidRPr="00CC41EE" w:rsidRDefault="00CC41EE" w:rsidP="00CC41EE">
      <w:pPr>
        <w:pStyle w:val="a3"/>
        <w:ind w:firstLine="567"/>
        <w:jc w:val="both"/>
        <w:rPr>
          <w:rFonts w:ascii="Times New Roman" w:hAnsi="Times New Roman" w:cs="Times New Roman"/>
        </w:rPr>
      </w:pPr>
      <w:r w:rsidRPr="00CC41EE">
        <w:rPr>
          <w:rFonts w:ascii="Times New Roman" w:hAnsi="Times New Roman" w:cs="Times New Roman"/>
        </w:rPr>
        <w:t xml:space="preserve">Если потребитель не обеспечил допуск управляющей организации в занимаемое помещение в дату и время, указанную в извещении о проведении проверки, и при этом отсутствует информация о временном отсутствии потребителя, управляющая организация составляет акт об отказе в допуске к прибору учета. Начиная </w:t>
      </w:r>
      <w:proofErr w:type="gramStart"/>
      <w:r w:rsidRPr="00CC41EE">
        <w:rPr>
          <w:rFonts w:ascii="Times New Roman" w:hAnsi="Times New Roman" w:cs="Times New Roman"/>
        </w:rPr>
        <w:t>с даты составления</w:t>
      </w:r>
      <w:proofErr w:type="gramEnd"/>
      <w:r w:rsidRPr="00CC41EE">
        <w:rPr>
          <w:rFonts w:ascii="Times New Roman" w:hAnsi="Times New Roman" w:cs="Times New Roman"/>
        </w:rPr>
        <w:t xml:space="preserve"> акта об отказе в допуске к прибору учета и до даты проведения проверки, но не более трех расчетных периодов подряд, плата за коммунальные услуги определяется исходя из среднемесячного объема потребления (п. 59 Правил). По истечении трех расчетных периодов исполнитель вправе производить расчет </w:t>
      </w:r>
      <w:proofErr w:type="gramStart"/>
      <w:r w:rsidRPr="00CC41EE">
        <w:rPr>
          <w:rFonts w:ascii="Times New Roman" w:hAnsi="Times New Roman" w:cs="Times New Roman"/>
        </w:rPr>
        <w:t>платы</w:t>
      </w:r>
      <w:proofErr w:type="gramEnd"/>
      <w:r w:rsidRPr="00CC41EE">
        <w:rPr>
          <w:rFonts w:ascii="Times New Roman" w:hAnsi="Times New Roman" w:cs="Times New Roman"/>
        </w:rPr>
        <w:t xml:space="preserve">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а также с применением повышающего коэффициента 1,5 начиная с 1-го числа месяца, в котором был составлен акт (п. 85(3) Правил).</w:t>
      </w:r>
    </w:p>
    <w:p w:rsidR="00CC41EE" w:rsidRPr="00CC41EE" w:rsidRDefault="00CC41EE" w:rsidP="00CC41EE">
      <w:pPr>
        <w:pStyle w:val="a3"/>
        <w:ind w:firstLine="567"/>
        <w:jc w:val="both"/>
        <w:rPr>
          <w:rFonts w:ascii="Times New Roman" w:hAnsi="Times New Roman" w:cs="Times New Roman"/>
        </w:rPr>
      </w:pPr>
      <w:r w:rsidRPr="00CC41EE">
        <w:rPr>
          <w:rFonts w:ascii="Times New Roman" w:hAnsi="Times New Roman" w:cs="Times New Roman"/>
        </w:rPr>
        <w:t>При проведении управляющей организацией проверки состояния прибора учета проверке подлежат: 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 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 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CC41EE" w:rsidRPr="00CC41EE" w:rsidRDefault="00CC41EE" w:rsidP="00CC41EE">
      <w:pPr>
        <w:pStyle w:val="a3"/>
        <w:ind w:firstLine="567"/>
        <w:jc w:val="both"/>
        <w:rPr>
          <w:rFonts w:ascii="Times New Roman" w:hAnsi="Times New Roman" w:cs="Times New Roman"/>
        </w:rPr>
      </w:pPr>
      <w:r w:rsidRPr="00CC41EE">
        <w:rPr>
          <w:rFonts w:ascii="Times New Roman" w:hAnsi="Times New Roman" w:cs="Times New Roman"/>
        </w:rPr>
        <w:t>При обнаружении в ходе проверки нарушений данных показателей управляющая организация составляет акт о несанкционированном вмешательстве в работу прибора учета. При этом</w:t>
      </w:r>
      <w:proofErr w:type="gramStart"/>
      <w:r w:rsidRPr="00CC41EE">
        <w:rPr>
          <w:rFonts w:ascii="Times New Roman" w:hAnsi="Times New Roman" w:cs="Times New Roman"/>
        </w:rPr>
        <w:t>,</w:t>
      </w:r>
      <w:proofErr w:type="gramEnd"/>
      <w:r w:rsidRPr="00CC41EE">
        <w:rPr>
          <w:rFonts w:ascii="Times New Roman" w:hAnsi="Times New Roman" w:cs="Times New Roman"/>
        </w:rPr>
        <w:t xml:space="preserve"> если прибор учета установлен помещении,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w:t>
      </w:r>
      <w:proofErr w:type="spellStart"/>
      <w:r w:rsidRPr="00CC41EE">
        <w:rPr>
          <w:rFonts w:ascii="Times New Roman" w:hAnsi="Times New Roman" w:cs="Times New Roman"/>
        </w:rPr>
        <w:t>доначисленной</w:t>
      </w:r>
      <w:proofErr w:type="spellEnd"/>
      <w:r w:rsidRPr="00CC41EE">
        <w:rPr>
          <w:rFonts w:ascii="Times New Roman" w:hAnsi="Times New Roman" w:cs="Times New Roman"/>
        </w:rPr>
        <w:t xml:space="preserve"> платы за коммунальные услуги. </w:t>
      </w:r>
      <w:proofErr w:type="gramStart"/>
      <w:r w:rsidRPr="00CC41EE">
        <w:rPr>
          <w:rFonts w:ascii="Times New Roman" w:hAnsi="Times New Roman" w:cs="Times New Roman"/>
        </w:rPr>
        <w:t>Такой перерасчет производится за период, начиная с даты установления контрольных пломб или устройств, но не ранее чем с даты проведения управляющей организацией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w:t>
      </w:r>
      <w:proofErr w:type="gramEnd"/>
      <w:r w:rsidRPr="00CC41EE">
        <w:rPr>
          <w:rFonts w:ascii="Times New Roman" w:hAnsi="Times New Roman" w:cs="Times New Roman"/>
        </w:rPr>
        <w:t xml:space="preserve"> коммунальных услуг с применением повышающего коэффициента 10 (п. 81(11) Правил).</w:t>
      </w:r>
    </w:p>
    <w:p w:rsidR="00CC41EE" w:rsidRPr="00CC41EE" w:rsidRDefault="00CC41EE" w:rsidP="00CC41EE">
      <w:pPr>
        <w:pStyle w:val="a3"/>
        <w:ind w:firstLine="567"/>
        <w:jc w:val="both"/>
        <w:rPr>
          <w:rFonts w:ascii="Times New Roman" w:hAnsi="Times New Roman" w:cs="Times New Roman"/>
        </w:rPr>
      </w:pPr>
      <w:r w:rsidRPr="00CC41EE">
        <w:rPr>
          <w:rFonts w:ascii="Times New Roman" w:hAnsi="Times New Roman" w:cs="Times New Roman"/>
        </w:rPr>
        <w:t xml:space="preserve">При обнаружении осуществленного с нарушением установленного порядка подключения внутриквартирного оборудования потребителя к внутридомовым инженерным системам управляющая организация составляет акт о выявлении несанкционированного подключения. На основании данного акта управляющая организация </w:t>
      </w:r>
      <w:proofErr w:type="gramStart"/>
      <w:r w:rsidRPr="00CC41EE">
        <w:rPr>
          <w:rFonts w:ascii="Times New Roman" w:hAnsi="Times New Roman" w:cs="Times New Roman"/>
        </w:rPr>
        <w:t>направляет потребителю уведомление о необходимости устранить несанкционированное подключение и производит</w:t>
      </w:r>
      <w:proofErr w:type="gramEnd"/>
      <w:r w:rsidRPr="00CC41EE">
        <w:rPr>
          <w:rFonts w:ascii="Times New Roman" w:hAnsi="Times New Roman" w:cs="Times New Roman"/>
        </w:rPr>
        <w:t xml:space="preserve"> доначисление платы за коммунальную услугу. Доначисление размера платы производится исходя из объемов коммунального ресурса, рассчитанных как произведение мощности </w:t>
      </w:r>
      <w:proofErr w:type="spellStart"/>
      <w:r w:rsidRPr="00CC41EE">
        <w:rPr>
          <w:rFonts w:ascii="Times New Roman" w:hAnsi="Times New Roman" w:cs="Times New Roman"/>
        </w:rPr>
        <w:t>несанкционированно</w:t>
      </w:r>
      <w:proofErr w:type="spellEnd"/>
      <w:r w:rsidRPr="00CC41EE">
        <w:rPr>
          <w:rFonts w:ascii="Times New Roman" w:hAnsi="Times New Roman" w:cs="Times New Roman"/>
        </w:rPr>
        <w:t xml:space="preserve"> подключенного оборудования (для водоснабжения и водоотведения - по пропускной способности трубы) и его круглосуточной </w:t>
      </w:r>
      <w:proofErr w:type="gramStart"/>
      <w:r w:rsidRPr="00CC41EE">
        <w:rPr>
          <w:rFonts w:ascii="Times New Roman" w:hAnsi="Times New Roman" w:cs="Times New Roman"/>
        </w:rPr>
        <w:t>работы</w:t>
      </w:r>
      <w:proofErr w:type="gramEnd"/>
      <w:r w:rsidRPr="00CC41EE">
        <w:rPr>
          <w:rFonts w:ascii="Times New Roman" w:hAnsi="Times New Roman" w:cs="Times New Roman"/>
        </w:rPr>
        <w:t xml:space="preserve"> за период начиная с даты осуществления несанкционированного подключения, указанной в акте о выявлении несанкционированного подключения,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w:t>
      </w:r>
      <w:proofErr w:type="gramStart"/>
      <w:r w:rsidRPr="00CC41EE">
        <w:rPr>
          <w:rFonts w:ascii="Times New Roman" w:hAnsi="Times New Roman" w:cs="Times New Roman"/>
        </w:rPr>
        <w:t>случае</w:t>
      </w:r>
      <w:proofErr w:type="gramEnd"/>
      <w:r w:rsidRPr="00CC41EE">
        <w:rPr>
          <w:rFonts w:ascii="Times New Roman" w:hAnsi="Times New Roman" w:cs="Times New Roman"/>
        </w:rPr>
        <w:t xml:space="preserve"> невозможности определить мощность </w:t>
      </w:r>
      <w:proofErr w:type="spellStart"/>
      <w:r w:rsidRPr="00CC41EE">
        <w:rPr>
          <w:rFonts w:ascii="Times New Roman" w:hAnsi="Times New Roman" w:cs="Times New Roman"/>
        </w:rPr>
        <w:t>несанкционированно</w:t>
      </w:r>
      <w:proofErr w:type="spellEnd"/>
      <w:r w:rsidRPr="00CC41EE">
        <w:rPr>
          <w:rFonts w:ascii="Times New Roman" w:hAnsi="Times New Roman" w:cs="Times New Roman"/>
        </w:rPr>
        <w:t xml:space="preserve">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 62 Правил).</w:t>
      </w:r>
    </w:p>
    <w:p w:rsidR="00EE37D3" w:rsidRPr="0034396B" w:rsidRDefault="00EE37D3" w:rsidP="00EE37D3">
      <w:pPr>
        <w:jc w:val="right"/>
        <w:rPr>
          <w:sz w:val="32"/>
          <w:szCs w:val="32"/>
        </w:rPr>
      </w:pPr>
      <w:r w:rsidRPr="00E129EE">
        <w:rPr>
          <w:sz w:val="32"/>
          <w:szCs w:val="32"/>
        </w:rPr>
        <w:t>ООО «НВ-Сервис»</w:t>
      </w:r>
    </w:p>
    <w:p w:rsidR="0034396B" w:rsidRPr="0034396B" w:rsidRDefault="0034396B" w:rsidP="00EE37D3">
      <w:pPr>
        <w:jc w:val="right"/>
        <w:rPr>
          <w:sz w:val="32"/>
          <w:szCs w:val="32"/>
        </w:rPr>
      </w:pPr>
    </w:p>
    <w:sectPr w:rsidR="0034396B" w:rsidRPr="0034396B" w:rsidSect="00CC41EE">
      <w:pgSz w:w="11906" w:h="16838"/>
      <w:pgMar w:top="284" w:right="850"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0CF"/>
    <w:rsid w:val="00035EA7"/>
    <w:rsid w:val="0006773A"/>
    <w:rsid w:val="000B586C"/>
    <w:rsid w:val="000C1D73"/>
    <w:rsid w:val="00150E3E"/>
    <w:rsid w:val="00160193"/>
    <w:rsid w:val="00243EAD"/>
    <w:rsid w:val="0034396B"/>
    <w:rsid w:val="003F4A62"/>
    <w:rsid w:val="004145FB"/>
    <w:rsid w:val="00446B3F"/>
    <w:rsid w:val="00510F49"/>
    <w:rsid w:val="005A30CF"/>
    <w:rsid w:val="00620DA1"/>
    <w:rsid w:val="006551A0"/>
    <w:rsid w:val="006A05F2"/>
    <w:rsid w:val="00720F88"/>
    <w:rsid w:val="00733218"/>
    <w:rsid w:val="007F4BE0"/>
    <w:rsid w:val="00883335"/>
    <w:rsid w:val="00936067"/>
    <w:rsid w:val="00AA58CE"/>
    <w:rsid w:val="00AD204E"/>
    <w:rsid w:val="00B6799E"/>
    <w:rsid w:val="00C33247"/>
    <w:rsid w:val="00C908F4"/>
    <w:rsid w:val="00CC41EE"/>
    <w:rsid w:val="00D03EF5"/>
    <w:rsid w:val="00E129EE"/>
    <w:rsid w:val="00E63505"/>
    <w:rsid w:val="00EC0C88"/>
    <w:rsid w:val="00EE37D3"/>
    <w:rsid w:val="00F25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C41E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C41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71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672</Words>
  <Characters>3836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Инвесттраст</Company>
  <LinksUpToDate>false</LinksUpToDate>
  <CharactersWithSpaces>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Юшина Юлия Викторовна</dc:creator>
  <cp:lastModifiedBy>Кабаева Наталия Александровна</cp:lastModifiedBy>
  <cp:revision>4</cp:revision>
  <cp:lastPrinted>2017-02-03T10:39:00Z</cp:lastPrinted>
  <dcterms:created xsi:type="dcterms:W3CDTF">2017-02-03T10:37:00Z</dcterms:created>
  <dcterms:modified xsi:type="dcterms:W3CDTF">2017-02-03T10:39:00Z</dcterms:modified>
</cp:coreProperties>
</file>